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7C1D42" w:rsidP="00E36759">
      <w:r>
        <w:t xml:space="preserve">Dear All </w:t>
      </w:r>
    </w:p>
    <w:p w:rsidR="007C1D42" w:rsidRDefault="007C1D42" w:rsidP="00E36759"/>
    <w:p w:rsidR="007C1D42" w:rsidRDefault="007C1D42" w:rsidP="00E36759">
      <w:r>
        <w:t>With the 2017 fishing season now well underway I wanted to take this opportunity to write to you to update you on the timetable for taking forward the assessment of c</w:t>
      </w:r>
      <w:r w:rsidR="00904F17">
        <w:t>onservation status for 2018.</w:t>
      </w:r>
      <w:r w:rsidR="0091537A">
        <w:t xml:space="preserve">  I would also like to thank stakeholder</w:t>
      </w:r>
      <w:r w:rsidR="003B4E6F">
        <w:t>s</w:t>
      </w:r>
      <w:r w:rsidR="0091537A">
        <w:t xml:space="preserve"> who have contributed </w:t>
      </w:r>
      <w:r w:rsidR="003B4E6F">
        <w:t xml:space="preserve">local </w:t>
      </w:r>
      <w:r w:rsidR="00904F17">
        <w:t xml:space="preserve">data which has </w:t>
      </w:r>
      <w:r w:rsidR="0091537A">
        <w:t>h</w:t>
      </w:r>
      <w:r w:rsidR="003B4E6F">
        <w:t xml:space="preserve">elped to refine the assessment of conservation status.  </w:t>
      </w:r>
      <w:r w:rsidR="00904F17">
        <w:t xml:space="preserve">The programme </w:t>
      </w:r>
      <w:r w:rsidR="00785775">
        <w:t xml:space="preserve">of support for angling clubs </w:t>
      </w:r>
      <w:r w:rsidR="00904F17">
        <w:t xml:space="preserve">continues to generate a lot of interest </w:t>
      </w:r>
      <w:r w:rsidR="00A93FA0">
        <w:t>and over 50 c</w:t>
      </w:r>
      <w:r w:rsidR="00785775">
        <w:t xml:space="preserve">lubs have signed up for the service so far.   </w:t>
      </w:r>
      <w:r w:rsidR="0094075A">
        <w:t>I have enclosed</w:t>
      </w:r>
      <w:r w:rsidR="00785775">
        <w:t xml:space="preserve">  the first six month progress report which contains a detailed summary of the services on offer and examples of how </w:t>
      </w:r>
      <w:proofErr w:type="spellStart"/>
      <w:r w:rsidR="00785775">
        <w:t>FishPal</w:t>
      </w:r>
      <w:proofErr w:type="spellEnd"/>
      <w:r w:rsidR="00785775">
        <w:t xml:space="preserve"> can work with local clubs to tailor support to their individual needs.  </w:t>
      </w:r>
      <w:r w:rsidR="00904F17">
        <w:t xml:space="preserve"> </w:t>
      </w:r>
    </w:p>
    <w:p w:rsidR="007C1D42" w:rsidRDefault="007C1D42" w:rsidP="00E36759"/>
    <w:p w:rsidR="007C1D42" w:rsidRDefault="007C1D42" w:rsidP="00E36759">
      <w:pPr>
        <w:rPr>
          <w:b/>
        </w:rPr>
      </w:pPr>
      <w:r w:rsidRPr="007C1D42">
        <w:rPr>
          <w:b/>
        </w:rPr>
        <w:t>Assessment of conservation status for the 2018</w:t>
      </w:r>
    </w:p>
    <w:p w:rsidR="007C1D42" w:rsidRDefault="007C1D42" w:rsidP="007C1D42">
      <w:pPr>
        <w:rPr>
          <w:rFonts w:cs="Arial"/>
          <w:szCs w:val="24"/>
        </w:rPr>
      </w:pPr>
    </w:p>
    <w:p w:rsidR="007C1D42" w:rsidRDefault="007C1D42" w:rsidP="007C1D42">
      <w:pPr>
        <w:rPr>
          <w:rFonts w:cs="Arial"/>
          <w:i/>
          <w:szCs w:val="24"/>
          <w:u w:val="single"/>
        </w:rPr>
      </w:pPr>
      <w:r>
        <w:rPr>
          <w:rFonts w:cs="Arial"/>
          <w:i/>
          <w:szCs w:val="24"/>
          <w:u w:val="single"/>
        </w:rPr>
        <w:t xml:space="preserve">Assessment by river </w:t>
      </w:r>
    </w:p>
    <w:p w:rsidR="003B4E6F" w:rsidRDefault="003B4E6F" w:rsidP="007C1D42">
      <w:pPr>
        <w:rPr>
          <w:rFonts w:cs="Arial"/>
          <w:i/>
          <w:szCs w:val="24"/>
          <w:u w:val="single"/>
        </w:rPr>
      </w:pPr>
    </w:p>
    <w:p w:rsidR="003B4E6F" w:rsidRDefault="003B4E6F" w:rsidP="003B4E6F">
      <w:r>
        <w:rPr>
          <w:rFonts w:cs="Arial"/>
          <w:szCs w:val="24"/>
        </w:rPr>
        <w:t>Moving on from the district approach in 2016</w:t>
      </w:r>
      <w:r w:rsidR="00A93FA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the assessment model for the 2017 fishing season categorised 168 individual rivers/groups of rivers (where rod catch and counter data has allowed) and 17 Areas of Special Conservation.  </w:t>
      </w:r>
      <w:r>
        <w:t xml:space="preserve">Where that has not been possible the </w:t>
      </w:r>
      <w:r w:rsidR="00A93FA0">
        <w:t>assessment was</w:t>
      </w:r>
      <w:r>
        <w:t xml:space="preserve"> made at fishery district </w:t>
      </w:r>
      <w:r w:rsidR="00E34E0C">
        <w:t>level and districts</w:t>
      </w:r>
      <w:r>
        <w:t xml:space="preserve"> have been graded as category 3 (mandatory catch and release).  This </w:t>
      </w:r>
      <w:r w:rsidRPr="00863264">
        <w:rPr>
          <w:rFonts w:cs="Arial"/>
          <w:szCs w:val="24"/>
        </w:rPr>
        <w:t xml:space="preserve">approach has been </w:t>
      </w:r>
      <w:r>
        <w:rPr>
          <w:rFonts w:cs="Arial"/>
          <w:szCs w:val="24"/>
        </w:rPr>
        <w:t>acknowledged by the sector as a positive move forward</w:t>
      </w:r>
      <w:r w:rsidR="00A93FA0">
        <w:rPr>
          <w:rFonts w:cs="Arial"/>
          <w:szCs w:val="24"/>
        </w:rPr>
        <w:t>.</w:t>
      </w:r>
      <w:r w:rsidR="00332202">
        <w:rPr>
          <w:rFonts w:cs="Arial"/>
          <w:szCs w:val="24"/>
        </w:rPr>
        <w:t xml:space="preserve">  Work continues with stakeholders to allocate rod catches to individual rivers and this has enabled a small number </w:t>
      </w:r>
      <w:r w:rsidR="00A93FA0">
        <w:rPr>
          <w:rFonts w:cs="Arial"/>
          <w:szCs w:val="24"/>
        </w:rPr>
        <w:t xml:space="preserve">of </w:t>
      </w:r>
      <w:r w:rsidR="00332202">
        <w:rPr>
          <w:rFonts w:cs="Arial"/>
          <w:szCs w:val="24"/>
        </w:rPr>
        <w:t>new rivers/groups to be assessed for 2018.</w:t>
      </w:r>
      <w:r w:rsidR="00E34E0C">
        <w:rPr>
          <w:rFonts w:cs="Arial"/>
          <w:szCs w:val="24"/>
        </w:rPr>
        <w:t xml:space="preserve">  Further information is available from the Marine Scotland </w:t>
      </w:r>
      <w:hyperlink r:id="rId8" w:history="1">
        <w:r w:rsidR="00E34E0C" w:rsidRPr="00E34E0C">
          <w:rPr>
            <w:rStyle w:val="Hyperlink"/>
            <w:rFonts w:cs="Arial"/>
            <w:szCs w:val="24"/>
          </w:rPr>
          <w:t>website</w:t>
        </w:r>
      </w:hyperlink>
      <w:r w:rsidR="00E34E0C">
        <w:rPr>
          <w:rFonts w:cs="Arial"/>
          <w:szCs w:val="24"/>
        </w:rPr>
        <w:t xml:space="preserve">. </w:t>
      </w:r>
      <w:r w:rsidR="00332202">
        <w:rPr>
          <w:rFonts w:cs="Arial"/>
          <w:szCs w:val="24"/>
        </w:rPr>
        <w:t xml:space="preserve">   </w:t>
      </w:r>
    </w:p>
    <w:p w:rsidR="003B4E6F" w:rsidRPr="003B4E6F" w:rsidRDefault="003B4E6F" w:rsidP="003B4E6F">
      <w:pPr>
        <w:rPr>
          <w:rFonts w:cs="Arial"/>
          <w:szCs w:val="24"/>
        </w:rPr>
      </w:pPr>
      <w:r>
        <w:t xml:space="preserve"> </w:t>
      </w:r>
    </w:p>
    <w:p w:rsidR="00332202" w:rsidRDefault="007C1D42" w:rsidP="007C1D42">
      <w:pPr>
        <w:rPr>
          <w:rFonts w:cs="Arial"/>
          <w:i/>
          <w:szCs w:val="24"/>
          <w:u w:val="single"/>
        </w:rPr>
      </w:pPr>
      <w:r>
        <w:rPr>
          <w:rFonts w:cs="Arial"/>
          <w:i/>
          <w:szCs w:val="24"/>
          <w:u w:val="single"/>
        </w:rPr>
        <w:t>Data and methodology</w:t>
      </w:r>
    </w:p>
    <w:p w:rsidR="00332202" w:rsidRDefault="00332202" w:rsidP="007C1D42">
      <w:pPr>
        <w:rPr>
          <w:rFonts w:cs="Arial"/>
          <w:i/>
          <w:szCs w:val="24"/>
          <w:u w:val="single"/>
        </w:rPr>
      </w:pPr>
    </w:p>
    <w:p w:rsidR="007C1D42" w:rsidRDefault="00332202" w:rsidP="007C1D42">
      <w:pPr>
        <w:rPr>
          <w:rFonts w:cs="Arial"/>
          <w:color w:val="000000"/>
          <w:szCs w:val="24"/>
        </w:rPr>
      </w:pPr>
      <w:r w:rsidRPr="00663C4A">
        <w:rPr>
          <w:rFonts w:cs="Arial"/>
          <w:szCs w:val="24"/>
        </w:rPr>
        <w:t>We continue to engage with local biologists through the Salmon Advisory Group to refine</w:t>
      </w:r>
      <w:r w:rsidRPr="00663C4A">
        <w:rPr>
          <w:rFonts w:cs="Arial"/>
          <w:color w:val="000000"/>
          <w:szCs w:val="24"/>
        </w:rPr>
        <w:t xml:space="preserve"> the methodology behind the conservation status system</w:t>
      </w:r>
      <w:r w:rsidRPr="00663C4A">
        <w:rPr>
          <w:rFonts w:cs="Arial"/>
          <w:color w:val="000000"/>
          <w:szCs w:val="24"/>
        </w:rPr>
        <w:t>.  The Group continues to review the progress made by the Tec</w:t>
      </w:r>
      <w:r w:rsidR="00F53C26">
        <w:rPr>
          <w:rFonts w:cs="Arial"/>
          <w:color w:val="000000"/>
          <w:szCs w:val="24"/>
        </w:rPr>
        <w:t xml:space="preserve">hnical Working Groups </w:t>
      </w:r>
      <w:r w:rsidR="00A93FA0">
        <w:rPr>
          <w:rFonts w:cs="Arial"/>
          <w:color w:val="000000"/>
          <w:szCs w:val="24"/>
        </w:rPr>
        <w:t xml:space="preserve">which are </w:t>
      </w:r>
      <w:bookmarkStart w:id="0" w:name="_GoBack"/>
      <w:bookmarkEnd w:id="0"/>
      <w:r w:rsidR="00F53C26">
        <w:rPr>
          <w:rFonts w:cs="Arial"/>
          <w:color w:val="000000"/>
          <w:szCs w:val="24"/>
        </w:rPr>
        <w:t>taking forward</w:t>
      </w:r>
      <w:r w:rsidR="00663C4A" w:rsidRPr="00663C4A">
        <w:rPr>
          <w:rFonts w:cs="Arial"/>
          <w:color w:val="000000"/>
          <w:szCs w:val="24"/>
        </w:rPr>
        <w:t>:</w:t>
      </w:r>
      <w:r w:rsidRPr="00663C4A">
        <w:rPr>
          <w:rFonts w:cs="Arial"/>
          <w:color w:val="000000"/>
          <w:szCs w:val="24"/>
        </w:rPr>
        <w:t xml:space="preserve"> </w:t>
      </w:r>
      <w:r w:rsidRPr="00663C4A">
        <w:rPr>
          <w:rFonts w:cs="Arial"/>
          <w:color w:val="000000"/>
          <w:szCs w:val="24"/>
        </w:rPr>
        <w:t>exploitation rate</w:t>
      </w:r>
      <w:r w:rsidRPr="00663C4A">
        <w:rPr>
          <w:rFonts w:cs="Arial"/>
          <w:color w:val="000000"/>
          <w:szCs w:val="24"/>
        </w:rPr>
        <w:t>s</w:t>
      </w:r>
      <w:r w:rsidR="00663C4A" w:rsidRPr="00663C4A">
        <w:rPr>
          <w:rFonts w:cs="Arial"/>
          <w:color w:val="000000"/>
          <w:szCs w:val="24"/>
        </w:rPr>
        <w:t>;</w:t>
      </w:r>
      <w:r w:rsidRPr="00663C4A">
        <w:rPr>
          <w:rFonts w:cs="Arial"/>
          <w:color w:val="000000"/>
          <w:szCs w:val="24"/>
        </w:rPr>
        <w:t xml:space="preserve"> grilse</w:t>
      </w:r>
      <w:r w:rsidR="00663C4A" w:rsidRPr="00663C4A">
        <w:rPr>
          <w:rFonts w:cs="Arial"/>
          <w:color w:val="000000"/>
          <w:szCs w:val="24"/>
        </w:rPr>
        <w:t xml:space="preserve">-error; electrofishing data; </w:t>
      </w:r>
      <w:r w:rsidRPr="00663C4A">
        <w:rPr>
          <w:rFonts w:cs="Arial"/>
          <w:color w:val="000000"/>
          <w:szCs w:val="24"/>
        </w:rPr>
        <w:t>fish counters</w:t>
      </w:r>
      <w:r w:rsidR="00663C4A" w:rsidRPr="00663C4A">
        <w:rPr>
          <w:rFonts w:cs="Arial"/>
          <w:color w:val="000000"/>
          <w:szCs w:val="24"/>
        </w:rPr>
        <w:t>; and radio/</w:t>
      </w:r>
      <w:r w:rsidR="00663C4A" w:rsidRPr="00663C4A">
        <w:rPr>
          <w:rFonts w:cs="Arial"/>
          <w:color w:val="000000"/>
          <w:szCs w:val="24"/>
        </w:rPr>
        <w:t>acoustic tracking and telemetry</w:t>
      </w:r>
      <w:r w:rsidR="00663C4A">
        <w:rPr>
          <w:rFonts w:cs="Arial"/>
          <w:color w:val="000000"/>
          <w:szCs w:val="24"/>
        </w:rPr>
        <w:t xml:space="preserve">.  Further information is available from the Marine Scotland </w:t>
      </w:r>
      <w:hyperlink r:id="rId9" w:history="1">
        <w:r w:rsidR="00663C4A" w:rsidRPr="00663C4A">
          <w:rPr>
            <w:rStyle w:val="Hyperlink"/>
            <w:rFonts w:cs="Arial"/>
            <w:szCs w:val="24"/>
          </w:rPr>
          <w:t>website</w:t>
        </w:r>
      </w:hyperlink>
      <w:r w:rsidR="00663C4A">
        <w:rPr>
          <w:rFonts w:cs="Arial"/>
          <w:color w:val="000000"/>
          <w:szCs w:val="24"/>
        </w:rPr>
        <w:t xml:space="preserve">.  </w:t>
      </w:r>
    </w:p>
    <w:p w:rsidR="00663C4A" w:rsidRDefault="00663C4A" w:rsidP="007C1D42">
      <w:pPr>
        <w:rPr>
          <w:rFonts w:cs="Arial"/>
          <w:color w:val="000000"/>
          <w:szCs w:val="24"/>
        </w:rPr>
      </w:pPr>
    </w:p>
    <w:p w:rsidR="00663C4A" w:rsidRPr="00663C4A" w:rsidRDefault="00663C4A" w:rsidP="00663C4A">
      <w:pPr>
        <w:rPr>
          <w:rFonts w:cs="Arial"/>
          <w:szCs w:val="24"/>
        </w:rPr>
      </w:pPr>
      <w:r w:rsidRPr="00663C4A">
        <w:rPr>
          <w:rFonts w:cs="Arial"/>
          <w:szCs w:val="24"/>
        </w:rPr>
        <w:t>The numbers of fish returning to an area are</w:t>
      </w:r>
      <w:r>
        <w:rPr>
          <w:rFonts w:cs="Arial"/>
          <w:szCs w:val="24"/>
        </w:rPr>
        <w:t xml:space="preserve"> </w:t>
      </w:r>
      <w:r w:rsidRPr="00663C4A">
        <w:rPr>
          <w:rFonts w:cs="Arial"/>
          <w:szCs w:val="24"/>
        </w:rPr>
        <w:t>estimated largely using reported catches. Reliable</w:t>
      </w:r>
      <w:r>
        <w:rPr>
          <w:rFonts w:cs="Arial"/>
          <w:szCs w:val="24"/>
        </w:rPr>
        <w:t xml:space="preserve"> </w:t>
      </w:r>
      <w:r w:rsidRPr="00663C4A">
        <w:rPr>
          <w:rFonts w:cs="Arial"/>
          <w:szCs w:val="24"/>
        </w:rPr>
        <w:t>catch data is therefore a key requirement if we</w:t>
      </w:r>
      <w:r>
        <w:rPr>
          <w:rFonts w:cs="Arial"/>
          <w:szCs w:val="24"/>
        </w:rPr>
        <w:t xml:space="preserve"> </w:t>
      </w:r>
      <w:r w:rsidRPr="00663C4A">
        <w:rPr>
          <w:rFonts w:cs="Arial"/>
          <w:szCs w:val="24"/>
        </w:rPr>
        <w:t>are to accurately assess the status of Scotland’s</w:t>
      </w:r>
      <w:r>
        <w:rPr>
          <w:rFonts w:cs="Arial"/>
          <w:szCs w:val="24"/>
        </w:rPr>
        <w:t xml:space="preserve"> </w:t>
      </w:r>
      <w:r w:rsidRPr="00663C4A">
        <w:rPr>
          <w:rFonts w:cs="Arial"/>
          <w:szCs w:val="24"/>
        </w:rPr>
        <w:t>salmon stocks.</w:t>
      </w:r>
      <w:r>
        <w:rPr>
          <w:rFonts w:cs="Arial"/>
          <w:szCs w:val="24"/>
        </w:rPr>
        <w:t xml:space="preserve"> </w:t>
      </w:r>
      <w:r w:rsidRPr="00663C4A">
        <w:rPr>
          <w:rFonts w:cs="Arial"/>
          <w:szCs w:val="24"/>
        </w:rPr>
        <w:t>Given the importance of reported catch in the</w:t>
      </w:r>
      <w:r>
        <w:rPr>
          <w:rFonts w:cs="Arial"/>
          <w:szCs w:val="24"/>
        </w:rPr>
        <w:t xml:space="preserve"> </w:t>
      </w:r>
      <w:r w:rsidRPr="00663C4A">
        <w:rPr>
          <w:rFonts w:cs="Arial"/>
          <w:szCs w:val="24"/>
        </w:rPr>
        <w:t>assessment process, failure to report catch will</w:t>
      </w:r>
      <w:r>
        <w:rPr>
          <w:rFonts w:cs="Arial"/>
          <w:szCs w:val="24"/>
        </w:rPr>
        <w:t xml:space="preserve"> </w:t>
      </w:r>
      <w:r w:rsidRPr="00663C4A">
        <w:rPr>
          <w:rFonts w:cs="Arial"/>
          <w:szCs w:val="24"/>
        </w:rPr>
        <w:t>result in an underestimate of the stock and may</w:t>
      </w:r>
      <w:r>
        <w:rPr>
          <w:rFonts w:cs="Arial"/>
          <w:szCs w:val="24"/>
        </w:rPr>
        <w:t xml:space="preserve"> </w:t>
      </w:r>
      <w:r w:rsidRPr="00663C4A">
        <w:rPr>
          <w:rFonts w:cs="Arial"/>
          <w:szCs w:val="24"/>
        </w:rPr>
        <w:t>affect whether salmon may be legally retained in</w:t>
      </w:r>
    </w:p>
    <w:p w:rsidR="00663C4A" w:rsidRPr="00663C4A" w:rsidRDefault="00663C4A" w:rsidP="00663C4A">
      <w:pPr>
        <w:rPr>
          <w:rFonts w:cs="Arial"/>
          <w:szCs w:val="24"/>
        </w:rPr>
      </w:pPr>
      <w:r w:rsidRPr="00663C4A">
        <w:rPr>
          <w:rFonts w:cs="Arial"/>
          <w:szCs w:val="24"/>
        </w:rPr>
        <w:t>subsequent years. The effects of unreported catch</w:t>
      </w:r>
      <w:r>
        <w:rPr>
          <w:rFonts w:cs="Arial"/>
          <w:szCs w:val="24"/>
        </w:rPr>
        <w:t xml:space="preserve"> </w:t>
      </w:r>
      <w:r w:rsidRPr="00663C4A">
        <w:rPr>
          <w:rFonts w:cs="Arial"/>
          <w:szCs w:val="24"/>
        </w:rPr>
        <w:t>may be felt most strongly in smaller rivers where</w:t>
      </w:r>
      <w:r>
        <w:rPr>
          <w:rFonts w:cs="Arial"/>
          <w:szCs w:val="24"/>
        </w:rPr>
        <w:t xml:space="preserve"> </w:t>
      </w:r>
      <w:r w:rsidRPr="00663C4A">
        <w:rPr>
          <w:rFonts w:cs="Arial"/>
          <w:szCs w:val="24"/>
        </w:rPr>
        <w:t>relatively few fisheries are active.</w:t>
      </w:r>
      <w:r>
        <w:rPr>
          <w:rFonts w:cs="Arial"/>
          <w:szCs w:val="24"/>
        </w:rPr>
        <w:t xml:space="preserve">   It is therefore essential that accurate catch data is received by the Marine Scotland Science team at Montrose.  Further information is available from the Marine Scotland </w:t>
      </w:r>
      <w:hyperlink r:id="rId10" w:history="1">
        <w:r w:rsidRPr="00663C4A">
          <w:rPr>
            <w:rStyle w:val="Hyperlink"/>
            <w:rFonts w:cs="Arial"/>
            <w:szCs w:val="24"/>
          </w:rPr>
          <w:t xml:space="preserve">topic sheet. </w:t>
        </w:r>
      </w:hyperlink>
      <w:r>
        <w:rPr>
          <w:rFonts w:cs="Arial"/>
          <w:szCs w:val="24"/>
        </w:rPr>
        <w:t xml:space="preserve"> </w:t>
      </w:r>
    </w:p>
    <w:p w:rsidR="007C1D42" w:rsidRDefault="007C1D42" w:rsidP="007C1D42">
      <w:pPr>
        <w:rPr>
          <w:rFonts w:cs="Arial"/>
          <w:i/>
          <w:szCs w:val="24"/>
          <w:u w:val="single"/>
        </w:rPr>
      </w:pPr>
    </w:p>
    <w:p w:rsidR="00F53C26" w:rsidRDefault="00F53C26" w:rsidP="007C1D42">
      <w:pPr>
        <w:rPr>
          <w:rFonts w:cs="Arial"/>
          <w:i/>
          <w:szCs w:val="24"/>
          <w:u w:val="single"/>
        </w:rPr>
      </w:pPr>
    </w:p>
    <w:p w:rsidR="00F53C26" w:rsidRDefault="00F53C26" w:rsidP="007C1D42">
      <w:pPr>
        <w:rPr>
          <w:rFonts w:cs="Arial"/>
          <w:i/>
          <w:szCs w:val="24"/>
          <w:u w:val="single"/>
        </w:rPr>
      </w:pPr>
    </w:p>
    <w:p w:rsidR="00F53C26" w:rsidRDefault="00F53C26" w:rsidP="007C1D42">
      <w:pPr>
        <w:rPr>
          <w:rFonts w:cs="Arial"/>
          <w:i/>
          <w:szCs w:val="24"/>
          <w:u w:val="single"/>
        </w:rPr>
      </w:pPr>
    </w:p>
    <w:p w:rsidR="00F53C26" w:rsidRDefault="00F53C26" w:rsidP="007C1D42">
      <w:pPr>
        <w:rPr>
          <w:rFonts w:cs="Arial"/>
          <w:i/>
          <w:szCs w:val="24"/>
          <w:u w:val="single"/>
        </w:rPr>
      </w:pPr>
    </w:p>
    <w:p w:rsidR="00F53C26" w:rsidRDefault="00F53C26" w:rsidP="007C1D42">
      <w:pPr>
        <w:rPr>
          <w:rFonts w:cs="Arial"/>
          <w:i/>
          <w:szCs w:val="24"/>
          <w:u w:val="single"/>
        </w:rPr>
      </w:pPr>
    </w:p>
    <w:p w:rsidR="007C1D42" w:rsidRPr="007C1D42" w:rsidRDefault="007C1D42" w:rsidP="007C1D42">
      <w:pPr>
        <w:rPr>
          <w:rFonts w:cs="Arial"/>
          <w:i/>
          <w:szCs w:val="24"/>
          <w:u w:val="single"/>
        </w:rPr>
      </w:pPr>
      <w:r>
        <w:rPr>
          <w:rFonts w:cs="Arial"/>
          <w:i/>
          <w:szCs w:val="24"/>
          <w:u w:val="single"/>
        </w:rPr>
        <w:lastRenderedPageBreak/>
        <w:t xml:space="preserve">Timetable and engagement with stakeholders </w:t>
      </w:r>
    </w:p>
    <w:p w:rsidR="007C1D42" w:rsidRDefault="007C1D42" w:rsidP="007C1D42">
      <w:pPr>
        <w:rPr>
          <w:rFonts w:cs="Arial"/>
          <w:szCs w:val="24"/>
        </w:rPr>
      </w:pPr>
    </w:p>
    <w:p w:rsidR="00510DBA" w:rsidRDefault="007C1D42" w:rsidP="007C1D42">
      <w:pPr>
        <w:rPr>
          <w:rFonts w:cs="Arial"/>
          <w:szCs w:val="24"/>
        </w:rPr>
      </w:pPr>
      <w:r w:rsidRPr="00733B24">
        <w:rPr>
          <w:rFonts w:cs="Arial"/>
          <w:szCs w:val="24"/>
        </w:rPr>
        <w:t>Stakeholder dialogue and the refinement of the data used to undertake the assessment will continue as we take forward the annual asse</w:t>
      </w:r>
      <w:r w:rsidR="00663C4A">
        <w:rPr>
          <w:rFonts w:cs="Arial"/>
          <w:szCs w:val="24"/>
        </w:rPr>
        <w:t xml:space="preserve">ssment of conservation status over the coming months.  </w:t>
      </w:r>
      <w:r w:rsidR="00510DBA">
        <w:rPr>
          <w:rFonts w:cs="Arial"/>
          <w:szCs w:val="24"/>
        </w:rPr>
        <w:t xml:space="preserve">We are working to complete the assessment process by the end of June and aim to consult with stakeholders on the provisional categories during the month of July.  This is with a view to having the legislation in place by the end of November in time for the busy Christmas booking period.  </w:t>
      </w:r>
    </w:p>
    <w:p w:rsidR="007C1D42" w:rsidRDefault="007C1D42" w:rsidP="00E36759"/>
    <w:p w:rsidR="007C1D42" w:rsidRDefault="007C1D42" w:rsidP="00E36759">
      <w:pPr>
        <w:rPr>
          <w:b/>
        </w:rPr>
      </w:pPr>
      <w:r w:rsidRPr="007C1D42">
        <w:rPr>
          <w:b/>
        </w:rPr>
        <w:t xml:space="preserve">Support for Angling Clubs </w:t>
      </w:r>
    </w:p>
    <w:p w:rsidR="00510DBA" w:rsidRDefault="00510DBA" w:rsidP="00E36759">
      <w:pPr>
        <w:rPr>
          <w:b/>
        </w:rPr>
      </w:pPr>
    </w:p>
    <w:p w:rsidR="0094075A" w:rsidRDefault="00785775" w:rsidP="00E36759">
      <w:r>
        <w:t>The programme of suppor</w:t>
      </w:r>
      <w:r w:rsidR="00755163">
        <w:t>t for angling clubs in partnership with</w:t>
      </w:r>
      <w:r>
        <w:t xml:space="preserve"> </w:t>
      </w:r>
      <w:proofErr w:type="spellStart"/>
      <w:r>
        <w:t>FishPal</w:t>
      </w:r>
      <w:proofErr w:type="spellEnd"/>
      <w:r>
        <w:t xml:space="preserve"> continues to promote catch and release as a responsible and sustainable fishing method and </w:t>
      </w:r>
      <w:r w:rsidR="00755163">
        <w:t xml:space="preserve">delivers </w:t>
      </w:r>
      <w:r>
        <w:t xml:space="preserve">practical support for angling clubs to market their fisheries.  </w:t>
      </w:r>
    </w:p>
    <w:p w:rsidR="00785775" w:rsidRDefault="00785775" w:rsidP="00E36759"/>
    <w:p w:rsidR="00785775" w:rsidRDefault="00785775" w:rsidP="00E36759">
      <w:r>
        <w:t xml:space="preserve">The programme aims to: </w:t>
      </w:r>
    </w:p>
    <w:p w:rsidR="0094075A" w:rsidRDefault="0094075A" w:rsidP="0094075A">
      <w:pPr>
        <w:pStyle w:val="ListParagraph"/>
        <w:numPr>
          <w:ilvl w:val="0"/>
          <w:numId w:val="5"/>
        </w:numPr>
      </w:pPr>
      <w:r>
        <w:t>support angling clubs to mitigate membership decline as a result of mandatory catch and release;</w:t>
      </w:r>
    </w:p>
    <w:p w:rsidR="0094075A" w:rsidRDefault="0094075A" w:rsidP="0094075A">
      <w:pPr>
        <w:pStyle w:val="ListParagraph"/>
        <w:numPr>
          <w:ilvl w:val="0"/>
          <w:numId w:val="5"/>
        </w:numPr>
      </w:pPr>
      <w:r>
        <w:t>provide direct assistance and guidance for angling clubs through a marketing and promotion strategy to advertise catch and release as a sustainable and desirable activity;</w:t>
      </w:r>
    </w:p>
    <w:p w:rsidR="0094075A" w:rsidRDefault="0094075A" w:rsidP="0094075A">
      <w:pPr>
        <w:pStyle w:val="ListParagraph"/>
        <w:numPr>
          <w:ilvl w:val="0"/>
          <w:numId w:val="5"/>
        </w:numPr>
      </w:pPr>
      <w:r>
        <w:t>promote catch and release more widely as a sustainable method;</w:t>
      </w:r>
    </w:p>
    <w:p w:rsidR="0094075A" w:rsidRDefault="0094075A" w:rsidP="0094075A">
      <w:pPr>
        <w:pStyle w:val="ListParagraph"/>
        <w:numPr>
          <w:ilvl w:val="0"/>
          <w:numId w:val="5"/>
        </w:numPr>
      </w:pPr>
      <w:r>
        <w:t>support angling clubs to improve catch reporting to feed into the Conservation Plan process; and</w:t>
      </w:r>
    </w:p>
    <w:p w:rsidR="0094075A" w:rsidRDefault="0094075A" w:rsidP="0094075A">
      <w:pPr>
        <w:pStyle w:val="ListParagraph"/>
        <w:numPr>
          <w:ilvl w:val="0"/>
          <w:numId w:val="5"/>
        </w:numPr>
      </w:pPr>
      <w:r>
        <w:t xml:space="preserve">promote good handling practice.  </w:t>
      </w:r>
    </w:p>
    <w:p w:rsidR="0094075A" w:rsidRDefault="0094075A" w:rsidP="0094075A"/>
    <w:p w:rsidR="0094075A" w:rsidRDefault="0094075A" w:rsidP="0094075A">
      <w:pPr>
        <w:pStyle w:val="FreeForm"/>
        <w:jc w:val="both"/>
      </w:pPr>
      <w:r>
        <w:t xml:space="preserve">As part of their work to promote catch and release </w:t>
      </w:r>
      <w:proofErr w:type="spellStart"/>
      <w:r>
        <w:t>FishPal</w:t>
      </w:r>
      <w:proofErr w:type="spellEnd"/>
      <w:r>
        <w:t xml:space="preserve"> have produced three short films which promote good handling practice: </w:t>
      </w:r>
    </w:p>
    <w:p w:rsidR="0094075A" w:rsidRDefault="0094075A" w:rsidP="0094075A">
      <w:pPr>
        <w:pStyle w:val="FreeForm"/>
      </w:pPr>
    </w:p>
    <w:p w:rsidR="0094075A" w:rsidRPr="00277D1A" w:rsidRDefault="0094075A" w:rsidP="0094075A">
      <w:pPr>
        <w:pStyle w:val="FreeForm"/>
        <w:rPr>
          <w:color w:val="auto"/>
        </w:rPr>
      </w:pPr>
      <w:hyperlink r:id="rId11" w:history="1">
        <w:r>
          <w:rPr>
            <w:rStyle w:val="Hyperlink2"/>
          </w:rPr>
          <w:t>Film 1</w:t>
        </w:r>
      </w:hyperlink>
      <w:r>
        <w:rPr>
          <w:rStyle w:val="Hyperlink2"/>
        </w:rPr>
        <w:t xml:space="preserve"> - </w:t>
      </w:r>
      <w:r>
        <w:rPr>
          <w:rStyle w:val="Hyperlink2"/>
          <w:color w:val="auto"/>
        </w:rPr>
        <w:t xml:space="preserve">Tackle </w:t>
      </w:r>
    </w:p>
    <w:p w:rsidR="0094075A" w:rsidRDefault="0094075A" w:rsidP="0094075A">
      <w:pPr>
        <w:pStyle w:val="FreeForm"/>
      </w:pPr>
    </w:p>
    <w:p w:rsidR="0094075A" w:rsidRPr="00701CBC" w:rsidRDefault="0094075A" w:rsidP="0094075A">
      <w:pPr>
        <w:pStyle w:val="FreeForm"/>
        <w:rPr>
          <w:rStyle w:val="None"/>
          <w:color w:val="auto"/>
        </w:rPr>
      </w:pPr>
      <w:hyperlink r:id="rId12" w:history="1">
        <w:r>
          <w:rPr>
            <w:rStyle w:val="Hyperlink2"/>
          </w:rPr>
          <w:t>Film 2</w:t>
        </w:r>
      </w:hyperlink>
      <w:r>
        <w:rPr>
          <w:rStyle w:val="Hyperlink2"/>
          <w:color w:val="auto"/>
        </w:rPr>
        <w:t xml:space="preserve">  - Planning the River </w:t>
      </w:r>
    </w:p>
    <w:p w:rsidR="0094075A" w:rsidRDefault="0094075A" w:rsidP="0094075A">
      <w:pPr>
        <w:pStyle w:val="FreeForm"/>
      </w:pPr>
    </w:p>
    <w:p w:rsidR="0094075A" w:rsidRPr="00701CBC" w:rsidRDefault="0094075A" w:rsidP="0094075A">
      <w:pPr>
        <w:pStyle w:val="FreeForm"/>
        <w:rPr>
          <w:rStyle w:val="None"/>
          <w:color w:val="auto"/>
        </w:rPr>
      </w:pPr>
      <w:hyperlink r:id="rId13" w:history="1">
        <w:r>
          <w:rPr>
            <w:rStyle w:val="Hyperlink2"/>
          </w:rPr>
          <w:t>Film 3</w:t>
        </w:r>
      </w:hyperlink>
      <w:r>
        <w:rPr>
          <w:rStyle w:val="Hyperlink2"/>
        </w:rPr>
        <w:t xml:space="preserve"> </w:t>
      </w:r>
      <w:r>
        <w:rPr>
          <w:rStyle w:val="Hyperlink2"/>
          <w:color w:val="auto"/>
        </w:rPr>
        <w:t xml:space="preserve">  - Catch and Release </w:t>
      </w:r>
    </w:p>
    <w:p w:rsidR="0094075A" w:rsidRDefault="0094075A" w:rsidP="0094075A">
      <w:pPr>
        <w:pStyle w:val="FreeForm"/>
      </w:pPr>
    </w:p>
    <w:p w:rsidR="0094075A" w:rsidRDefault="0094075A" w:rsidP="0094075A">
      <w:r>
        <w:t xml:space="preserve">The films have been very well received and shared more widely by the sector.  </w:t>
      </w:r>
    </w:p>
    <w:p w:rsidR="0094075A" w:rsidRDefault="0094075A" w:rsidP="0094075A"/>
    <w:p w:rsidR="0094075A" w:rsidRPr="00BC5261" w:rsidRDefault="0094075A" w:rsidP="0094075A">
      <w:r>
        <w:t>Any angling clubs keen t</w:t>
      </w:r>
      <w:r>
        <w:t>o learn more about the support on offer and how to access the programme</w:t>
      </w:r>
      <w:r>
        <w:t xml:space="preserve"> should complete the form on the </w:t>
      </w:r>
      <w:proofErr w:type="spellStart"/>
      <w:r>
        <w:t>FishPal</w:t>
      </w:r>
      <w:proofErr w:type="spellEnd"/>
      <w:r>
        <w:t xml:space="preserve"> </w:t>
      </w:r>
      <w:hyperlink r:id="rId14" w:history="1">
        <w:r w:rsidRPr="0094075A">
          <w:rPr>
            <w:rStyle w:val="Hyperlink"/>
          </w:rPr>
          <w:t>website</w:t>
        </w:r>
      </w:hyperlink>
      <w:r>
        <w:t xml:space="preserve"> or alternatively they can contact Tom Cater on 01573 470 612 to discuss.</w:t>
      </w:r>
    </w:p>
    <w:p w:rsidR="0094075A" w:rsidRDefault="0094075A" w:rsidP="0094075A"/>
    <w:p w:rsidR="0094075A" w:rsidRDefault="0094075A" w:rsidP="0094075A"/>
    <w:p w:rsidR="0094075A" w:rsidRDefault="0094075A" w:rsidP="0094075A"/>
    <w:p w:rsidR="0094075A" w:rsidRPr="0094075A" w:rsidRDefault="0094075A" w:rsidP="0094075A"/>
    <w:p w:rsidR="0094075A" w:rsidRDefault="0094075A" w:rsidP="0094075A"/>
    <w:p w:rsidR="0094075A" w:rsidRDefault="0094075A" w:rsidP="0094075A"/>
    <w:p w:rsidR="007C1D42" w:rsidRPr="007C1D42" w:rsidRDefault="007C1D42" w:rsidP="00E36759">
      <w:pPr>
        <w:rPr>
          <w:b/>
        </w:rPr>
      </w:pPr>
    </w:p>
    <w:sectPr w:rsidR="007C1D42" w:rsidRPr="007C1D42" w:rsidSect="00AB54FF">
      <w:headerReference w:type="default" r:id="rId15"/>
      <w:footerReference w:type="default" r:id="rId16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42" w:rsidRDefault="007C1D42">
      <w:pPr>
        <w:spacing w:line="240" w:lineRule="auto"/>
      </w:pPr>
      <w:r>
        <w:separator/>
      </w:r>
    </w:p>
  </w:endnote>
  <w:endnote w:type="continuationSeparator" w:id="0">
    <w:p w:rsidR="007C1D42" w:rsidRDefault="007C1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42" w:rsidRDefault="007C1D42">
      <w:pPr>
        <w:spacing w:line="240" w:lineRule="auto"/>
      </w:pPr>
      <w:r>
        <w:separator/>
      </w:r>
    </w:p>
  </w:footnote>
  <w:footnote w:type="continuationSeparator" w:id="0">
    <w:p w:rsidR="007C1D42" w:rsidRDefault="007C1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C87F2C"/>
    <w:multiLevelType w:val="hybridMultilevel"/>
    <w:tmpl w:val="D38E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42"/>
    <w:rsid w:val="00100021"/>
    <w:rsid w:val="001267F7"/>
    <w:rsid w:val="00157346"/>
    <w:rsid w:val="00192DC7"/>
    <w:rsid w:val="002F3688"/>
    <w:rsid w:val="00332202"/>
    <w:rsid w:val="003B4E6F"/>
    <w:rsid w:val="003F2479"/>
    <w:rsid w:val="00411FC4"/>
    <w:rsid w:val="00510DBA"/>
    <w:rsid w:val="00663C4A"/>
    <w:rsid w:val="0067486A"/>
    <w:rsid w:val="006D26F7"/>
    <w:rsid w:val="00755163"/>
    <w:rsid w:val="00785775"/>
    <w:rsid w:val="007C1D42"/>
    <w:rsid w:val="00904F17"/>
    <w:rsid w:val="0091537A"/>
    <w:rsid w:val="0094075A"/>
    <w:rsid w:val="00952710"/>
    <w:rsid w:val="009F71B8"/>
    <w:rsid w:val="00A56EBA"/>
    <w:rsid w:val="00A90A53"/>
    <w:rsid w:val="00A93FA0"/>
    <w:rsid w:val="00AB54FF"/>
    <w:rsid w:val="00AC310B"/>
    <w:rsid w:val="00AE01CB"/>
    <w:rsid w:val="00C86FBA"/>
    <w:rsid w:val="00E34E0C"/>
    <w:rsid w:val="00E3599D"/>
    <w:rsid w:val="00E36759"/>
    <w:rsid w:val="00F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663C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75A"/>
    <w:pPr>
      <w:ind w:left="720"/>
      <w:contextualSpacing/>
    </w:pPr>
  </w:style>
  <w:style w:type="paragraph" w:customStyle="1" w:styleId="FreeForm">
    <w:name w:val="Free Form"/>
    <w:rsid w:val="009407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Cs w:val="24"/>
      <w:u w:color="000000"/>
      <w:bdr w:val="nil"/>
      <w:lang w:val="en-US"/>
    </w:rPr>
  </w:style>
  <w:style w:type="character" w:customStyle="1" w:styleId="None">
    <w:name w:val="None"/>
    <w:rsid w:val="0094075A"/>
  </w:style>
  <w:style w:type="character" w:customStyle="1" w:styleId="Hyperlink2">
    <w:name w:val="Hyperlink.2"/>
    <w:basedOn w:val="None"/>
    <w:rsid w:val="0094075A"/>
    <w:rPr>
      <w:color w:val="4687FF"/>
      <w:u w:val="single" w:color="4687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663C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75A"/>
    <w:pPr>
      <w:ind w:left="720"/>
      <w:contextualSpacing/>
    </w:pPr>
  </w:style>
  <w:style w:type="paragraph" w:customStyle="1" w:styleId="FreeForm">
    <w:name w:val="Free Form"/>
    <w:rsid w:val="009407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Cs w:val="24"/>
      <w:u w:color="000000"/>
      <w:bdr w:val="nil"/>
      <w:lang w:val="en-US"/>
    </w:rPr>
  </w:style>
  <w:style w:type="character" w:customStyle="1" w:styleId="None">
    <w:name w:val="None"/>
    <w:rsid w:val="0094075A"/>
  </w:style>
  <w:style w:type="character" w:customStyle="1" w:styleId="Hyperlink2">
    <w:name w:val="Hyperlink.2"/>
    <w:basedOn w:val="None"/>
    <w:rsid w:val="0094075A"/>
    <w:rPr>
      <w:color w:val="4687FF"/>
      <w:u w:val="single" w:color="4687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cot/Topics/marine/Salmon-Trout-Coarse/fishreform/licence/status" TargetMode="External"/><Relationship Id="rId13" Type="http://schemas.openxmlformats.org/officeDocument/2006/relationships/hyperlink" Target="https://www.youtube.com/watch?v=ucE4KgHzsPM&amp;feature=shar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nanaQyC6o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qPFyohnMG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v.scot/Resource/0051/0051227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scot/Topics/marine/Salmon-Trout-Coarse/fishreform/licence/MSBiologist" TargetMode="External"/><Relationship Id="rId14" Type="http://schemas.openxmlformats.org/officeDocument/2006/relationships/hyperlink" Target="http://www.fishpal.com/Scotland/AnglingClu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705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u199982</dc:creator>
  <cp:lastModifiedBy>u199982</cp:lastModifiedBy>
  <cp:revision>3</cp:revision>
  <cp:lastPrinted>2017-04-07T15:20:00Z</cp:lastPrinted>
  <dcterms:created xsi:type="dcterms:W3CDTF">2017-04-07T13:33:00Z</dcterms:created>
  <dcterms:modified xsi:type="dcterms:W3CDTF">2017-04-07T16:16:00Z</dcterms:modified>
</cp:coreProperties>
</file>